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D70A" w14:textId="2EBEC073" w:rsidR="00DB0248" w:rsidRDefault="00CD5A70">
      <w:pPr>
        <w:spacing w:after="0" w:line="259" w:lineRule="auto"/>
        <w:ind w:left="175" w:right="1"/>
        <w:jc w:val="center"/>
        <w:rPr>
          <w:b/>
          <w:sz w:val="27"/>
        </w:rPr>
      </w:pPr>
      <w:r>
        <w:rPr>
          <w:b/>
          <w:sz w:val="27"/>
        </w:rPr>
        <w:t xml:space="preserve">DREXEL UNIVERSITY </w:t>
      </w:r>
    </w:p>
    <w:p w14:paraId="66E9D850" w14:textId="5A7C28FC" w:rsidR="00981AD9" w:rsidRDefault="00981AD9">
      <w:pPr>
        <w:spacing w:after="0" w:line="259" w:lineRule="auto"/>
        <w:ind w:left="175" w:right="1"/>
        <w:jc w:val="center"/>
      </w:pPr>
      <w:r>
        <w:rPr>
          <w:b/>
          <w:sz w:val="27"/>
        </w:rPr>
        <w:t>IACUC</w:t>
      </w:r>
    </w:p>
    <w:p w14:paraId="0B1D5B4D" w14:textId="77777777" w:rsidR="00DB0248" w:rsidRDefault="00CD5A70">
      <w:pPr>
        <w:spacing w:after="0" w:line="259" w:lineRule="auto"/>
        <w:ind w:left="175"/>
        <w:jc w:val="center"/>
      </w:pPr>
      <w:r>
        <w:rPr>
          <w:b/>
          <w:sz w:val="27"/>
        </w:rPr>
        <w:t>DOSING VOLUME POLICY</w:t>
      </w:r>
      <w:r>
        <w:rPr>
          <w:sz w:val="27"/>
        </w:rPr>
        <w:t xml:space="preserve"> </w:t>
      </w:r>
    </w:p>
    <w:p w14:paraId="55CE599D" w14:textId="0D606A6E" w:rsidR="00DB0248" w:rsidRDefault="00CD5A70" w:rsidP="00B92171">
      <w:pPr>
        <w:spacing w:after="0" w:line="259" w:lineRule="auto"/>
        <w:ind w:left="0" w:firstLine="0"/>
      </w:pPr>
      <w:r>
        <w:rPr>
          <w:b/>
          <w:sz w:val="26"/>
        </w:rPr>
        <w:t xml:space="preserve">  </w:t>
      </w:r>
    </w:p>
    <w:p w14:paraId="6850C5D5" w14:textId="77777777" w:rsidR="00DB0248" w:rsidRDefault="00CD5A70">
      <w:pPr>
        <w:spacing w:after="222"/>
        <w:ind w:left="115"/>
      </w:pPr>
      <w:r>
        <w:t xml:space="preserve">The following are appropriate dosing volumes for the various laboratory animal species. Figures represent the maximum volume not to be exceeded for a single once per day administration. The veterinary staff is available to discuss appropriate volumes for species not listed.  </w:t>
      </w:r>
    </w:p>
    <w:p w14:paraId="7DC276E2" w14:textId="77777777" w:rsidR="00DB0248" w:rsidRDefault="00CD5A70">
      <w:pPr>
        <w:ind w:left="115"/>
      </w:pPr>
      <w:r>
        <w:t xml:space="preserve">All administered substances must be approved by the IACUC.  Volumes that exceed those listed must be stated in the IACUC protocol, scientifically justified, and should be discussed with an ULAR veterinarian prior to submission. </w:t>
      </w:r>
    </w:p>
    <w:p w14:paraId="2857BBA2" w14:textId="77777777" w:rsidR="00DB0248" w:rsidRDefault="00CD5A70">
      <w:pPr>
        <w:spacing w:after="0" w:line="259" w:lineRule="auto"/>
        <w:ind w:left="0" w:firstLine="0"/>
      </w:pPr>
      <w:r>
        <w:t xml:space="preserve"> </w:t>
      </w:r>
    </w:p>
    <w:p w14:paraId="48C5EF52" w14:textId="77777777" w:rsidR="00DB0248" w:rsidRDefault="00CD5A70">
      <w:pPr>
        <w:spacing w:after="0" w:line="259" w:lineRule="auto"/>
        <w:ind w:left="169"/>
        <w:jc w:val="center"/>
      </w:pPr>
      <w:r>
        <w:t xml:space="preserve">MAXIMUM DOSING VOLUMES (ml/kg) </w:t>
      </w:r>
    </w:p>
    <w:p w14:paraId="6C7B02D7" w14:textId="77777777" w:rsidR="00DB0248" w:rsidRDefault="00CD5A70">
      <w:pPr>
        <w:spacing w:after="0" w:line="259" w:lineRule="auto"/>
        <w:ind w:left="0" w:firstLine="0"/>
      </w:pPr>
      <w:r>
        <w:rPr>
          <w:sz w:val="15"/>
        </w:rPr>
        <w:t xml:space="preserve"> </w:t>
      </w:r>
    </w:p>
    <w:tbl>
      <w:tblPr>
        <w:tblStyle w:val="TableGrid"/>
        <w:tblW w:w="8207" w:type="dxa"/>
        <w:tblInd w:w="5" w:type="dxa"/>
        <w:tblLook w:val="04A0" w:firstRow="1" w:lastRow="0" w:firstColumn="1" w:lastColumn="0" w:noHBand="0" w:noVBand="1"/>
      </w:tblPr>
      <w:tblGrid>
        <w:gridCol w:w="4058"/>
        <w:gridCol w:w="1426"/>
        <w:gridCol w:w="722"/>
        <w:gridCol w:w="617"/>
        <w:gridCol w:w="761"/>
        <w:gridCol w:w="623"/>
      </w:tblGrid>
      <w:tr w:rsidR="00DB0248" w14:paraId="4D49DEE0" w14:textId="77777777" w:rsidTr="006168B5">
        <w:trPr>
          <w:trHeight w:val="382"/>
        </w:trPr>
        <w:tc>
          <w:tcPr>
            <w:tcW w:w="4057" w:type="dxa"/>
          </w:tcPr>
          <w:p w14:paraId="4628DB14" w14:textId="77777777" w:rsidR="00DB0248" w:rsidRDefault="00CD5A70">
            <w:pPr>
              <w:spacing w:after="0" w:line="259" w:lineRule="auto"/>
              <w:ind w:left="0" w:firstLine="0"/>
            </w:pPr>
            <w:r>
              <w:rPr>
                <w:rFonts w:ascii="Calibri" w:eastAsia="Calibri" w:hAnsi="Calibri" w:cs="Calibri"/>
                <w:sz w:val="22"/>
              </w:rPr>
              <w:t xml:space="preserve"> </w:t>
            </w:r>
          </w:p>
        </w:tc>
        <w:tc>
          <w:tcPr>
            <w:tcW w:w="1426" w:type="dxa"/>
          </w:tcPr>
          <w:p w14:paraId="28697A8A" w14:textId="77777777" w:rsidR="00DB0248" w:rsidRDefault="00CD5A70">
            <w:pPr>
              <w:spacing w:after="0" w:line="259" w:lineRule="auto"/>
              <w:ind w:left="187" w:firstLine="0"/>
            </w:pPr>
            <w:r>
              <w:rPr>
                <w:b/>
              </w:rPr>
              <w:t>GAVAGE</w:t>
            </w:r>
            <w:r>
              <w:t xml:space="preserve"> </w:t>
            </w:r>
          </w:p>
        </w:tc>
        <w:tc>
          <w:tcPr>
            <w:tcW w:w="722" w:type="dxa"/>
          </w:tcPr>
          <w:p w14:paraId="718EC5AA" w14:textId="77777777" w:rsidR="00DB0248" w:rsidRDefault="00CD5A70">
            <w:pPr>
              <w:spacing w:after="0" w:line="259" w:lineRule="auto"/>
              <w:ind w:left="190" w:firstLine="0"/>
            </w:pPr>
            <w:r>
              <w:rPr>
                <w:b/>
              </w:rPr>
              <w:t>IV</w:t>
            </w:r>
            <w:r>
              <w:rPr>
                <w:b/>
                <w:color w:val="FF0000"/>
                <w:sz w:val="16"/>
                <w:vertAlign w:val="superscript"/>
              </w:rPr>
              <w:footnoteReference w:id="1"/>
            </w:r>
            <w:r>
              <w:rPr>
                <w:sz w:val="16"/>
              </w:rPr>
              <w:t xml:space="preserve"> </w:t>
            </w:r>
          </w:p>
        </w:tc>
        <w:tc>
          <w:tcPr>
            <w:tcW w:w="617" w:type="dxa"/>
          </w:tcPr>
          <w:p w14:paraId="0D41FA2E" w14:textId="77777777" w:rsidR="00DB0248" w:rsidRDefault="00CD5A70">
            <w:pPr>
              <w:spacing w:after="0" w:line="259" w:lineRule="auto"/>
              <w:ind w:left="187" w:firstLine="0"/>
            </w:pPr>
            <w:r>
              <w:rPr>
                <w:b/>
              </w:rPr>
              <w:t>IP</w:t>
            </w:r>
            <w:r>
              <w:t xml:space="preserve"> </w:t>
            </w:r>
          </w:p>
        </w:tc>
        <w:tc>
          <w:tcPr>
            <w:tcW w:w="761" w:type="dxa"/>
          </w:tcPr>
          <w:p w14:paraId="37276E15" w14:textId="77777777" w:rsidR="00DB0248" w:rsidRDefault="00CD5A70">
            <w:pPr>
              <w:spacing w:after="0" w:line="259" w:lineRule="auto"/>
              <w:ind w:left="187" w:firstLine="0"/>
            </w:pPr>
            <w:r>
              <w:rPr>
                <w:b/>
              </w:rPr>
              <w:t>SC</w:t>
            </w:r>
            <w:r>
              <w:rPr>
                <w:b/>
                <w:color w:val="FF0000"/>
                <w:sz w:val="16"/>
                <w:vertAlign w:val="superscript"/>
              </w:rPr>
              <w:footnoteReference w:id="2"/>
            </w:r>
            <w:r>
              <w:rPr>
                <w:sz w:val="16"/>
              </w:rPr>
              <w:t xml:space="preserve"> </w:t>
            </w:r>
          </w:p>
        </w:tc>
        <w:tc>
          <w:tcPr>
            <w:tcW w:w="623" w:type="dxa"/>
          </w:tcPr>
          <w:p w14:paraId="7EB6FE62" w14:textId="77777777" w:rsidR="00DB0248" w:rsidRDefault="00CD5A70">
            <w:pPr>
              <w:spacing w:after="0" w:line="259" w:lineRule="auto"/>
              <w:ind w:left="187" w:firstLine="0"/>
            </w:pPr>
            <w:r>
              <w:rPr>
                <w:b/>
              </w:rPr>
              <w:t>IM</w:t>
            </w:r>
            <w:r>
              <w:rPr>
                <w:b/>
                <w:color w:val="FF0000"/>
                <w:sz w:val="16"/>
                <w:vertAlign w:val="superscript"/>
              </w:rPr>
              <w:footnoteReference w:id="3"/>
            </w:r>
            <w:r>
              <w:rPr>
                <w:sz w:val="16"/>
              </w:rPr>
              <w:t xml:space="preserve"> </w:t>
            </w:r>
          </w:p>
        </w:tc>
      </w:tr>
      <w:tr w:rsidR="00DB0248" w14:paraId="3A8520EE" w14:textId="77777777" w:rsidTr="006168B5">
        <w:trPr>
          <w:trHeight w:val="1007"/>
        </w:trPr>
        <w:tc>
          <w:tcPr>
            <w:tcW w:w="4057" w:type="dxa"/>
          </w:tcPr>
          <w:p w14:paraId="6EE80910" w14:textId="77777777" w:rsidR="00B92171" w:rsidRDefault="00B92171">
            <w:pPr>
              <w:spacing w:after="0" w:line="259" w:lineRule="auto"/>
              <w:ind w:left="230" w:firstLine="0"/>
              <w:rPr>
                <w:b/>
              </w:rPr>
            </w:pPr>
          </w:p>
          <w:p w14:paraId="25F81929" w14:textId="442C3487" w:rsidR="00DB0248" w:rsidRDefault="00CD5A70">
            <w:pPr>
              <w:spacing w:after="0" w:line="259" w:lineRule="auto"/>
              <w:ind w:left="230" w:firstLine="0"/>
            </w:pPr>
            <w:r>
              <w:rPr>
                <w:b/>
              </w:rPr>
              <w:t>MOUSE</w:t>
            </w:r>
            <w:r>
              <w:t xml:space="preserve"> </w:t>
            </w:r>
          </w:p>
          <w:p w14:paraId="39E9EEF2" w14:textId="77777777" w:rsidR="00DB0248" w:rsidRDefault="00CD5A70">
            <w:pPr>
              <w:spacing w:after="0" w:line="259" w:lineRule="auto"/>
              <w:ind w:left="230" w:firstLine="0"/>
            </w:pPr>
            <w:r>
              <w:rPr>
                <w:color w:val="FF0000"/>
              </w:rPr>
              <w:t xml:space="preserve"> </w:t>
            </w:r>
          </w:p>
        </w:tc>
        <w:tc>
          <w:tcPr>
            <w:tcW w:w="1426" w:type="dxa"/>
          </w:tcPr>
          <w:p w14:paraId="5E808477" w14:textId="77777777" w:rsidR="00DB0248" w:rsidRDefault="00CD5A70">
            <w:pPr>
              <w:spacing w:after="0" w:line="259" w:lineRule="auto"/>
              <w:ind w:left="0" w:firstLine="0"/>
            </w:pPr>
            <w:r>
              <w:rPr>
                <w:sz w:val="26"/>
              </w:rPr>
              <w:t xml:space="preserve"> </w:t>
            </w:r>
          </w:p>
          <w:p w14:paraId="0366BF2C" w14:textId="77777777" w:rsidR="00DB0248" w:rsidRDefault="00CD5A70">
            <w:pPr>
              <w:spacing w:after="0" w:line="259" w:lineRule="auto"/>
              <w:ind w:left="187" w:firstLine="0"/>
            </w:pPr>
            <w:r>
              <w:t xml:space="preserve">10 </w:t>
            </w:r>
          </w:p>
        </w:tc>
        <w:tc>
          <w:tcPr>
            <w:tcW w:w="722" w:type="dxa"/>
          </w:tcPr>
          <w:p w14:paraId="17C0AAB7" w14:textId="77777777" w:rsidR="00DB0248" w:rsidRDefault="00CD5A70">
            <w:pPr>
              <w:spacing w:after="0" w:line="259" w:lineRule="auto"/>
              <w:ind w:left="0" w:firstLine="0"/>
            </w:pPr>
            <w:r>
              <w:rPr>
                <w:sz w:val="26"/>
              </w:rPr>
              <w:t xml:space="preserve"> </w:t>
            </w:r>
          </w:p>
          <w:p w14:paraId="5561FD01" w14:textId="77777777" w:rsidR="00DB0248" w:rsidRDefault="00CD5A70">
            <w:pPr>
              <w:spacing w:after="0" w:line="259" w:lineRule="auto"/>
              <w:ind w:left="190" w:firstLine="0"/>
            </w:pPr>
            <w:r>
              <w:t xml:space="preserve">5 </w:t>
            </w:r>
          </w:p>
        </w:tc>
        <w:tc>
          <w:tcPr>
            <w:tcW w:w="617" w:type="dxa"/>
          </w:tcPr>
          <w:p w14:paraId="2B33F6FE" w14:textId="77777777" w:rsidR="00DB0248" w:rsidRDefault="00CD5A70">
            <w:pPr>
              <w:spacing w:after="0" w:line="259" w:lineRule="auto"/>
              <w:ind w:left="0" w:firstLine="0"/>
            </w:pPr>
            <w:r>
              <w:rPr>
                <w:sz w:val="26"/>
              </w:rPr>
              <w:t xml:space="preserve"> </w:t>
            </w:r>
          </w:p>
          <w:p w14:paraId="039729C5" w14:textId="77777777" w:rsidR="00DB0248" w:rsidRDefault="00CD5A70">
            <w:pPr>
              <w:spacing w:after="0" w:line="259" w:lineRule="auto"/>
              <w:ind w:left="187" w:firstLine="0"/>
            </w:pPr>
            <w:r>
              <w:t xml:space="preserve">10 </w:t>
            </w:r>
          </w:p>
        </w:tc>
        <w:tc>
          <w:tcPr>
            <w:tcW w:w="761" w:type="dxa"/>
          </w:tcPr>
          <w:p w14:paraId="592A2695" w14:textId="77777777" w:rsidR="00DB0248" w:rsidRDefault="00CD5A70">
            <w:pPr>
              <w:spacing w:after="0" w:line="259" w:lineRule="auto"/>
              <w:ind w:left="0" w:firstLine="0"/>
            </w:pPr>
            <w:r>
              <w:rPr>
                <w:sz w:val="26"/>
              </w:rPr>
              <w:t xml:space="preserve"> </w:t>
            </w:r>
          </w:p>
          <w:p w14:paraId="41170EED" w14:textId="734B3236" w:rsidR="00DB0248" w:rsidRDefault="00CD5A70">
            <w:pPr>
              <w:spacing w:after="0" w:line="259" w:lineRule="auto"/>
              <w:ind w:left="187" w:firstLine="0"/>
            </w:pPr>
            <w:r>
              <w:t xml:space="preserve">5 </w:t>
            </w:r>
          </w:p>
        </w:tc>
        <w:tc>
          <w:tcPr>
            <w:tcW w:w="623" w:type="dxa"/>
          </w:tcPr>
          <w:p w14:paraId="52BD28DA" w14:textId="77777777" w:rsidR="00B92171" w:rsidRDefault="00CD5A70">
            <w:pPr>
              <w:spacing w:after="0" w:line="259" w:lineRule="auto"/>
              <w:ind w:left="187" w:right="245" w:hanging="187"/>
              <w:rPr>
                <w:sz w:val="25"/>
              </w:rPr>
            </w:pPr>
            <w:r>
              <w:rPr>
                <w:sz w:val="25"/>
              </w:rPr>
              <w:t xml:space="preserve"> </w:t>
            </w:r>
          </w:p>
          <w:p w14:paraId="2CA46A0C" w14:textId="56B0ABD7" w:rsidR="00DB0248" w:rsidRDefault="00CD5A70">
            <w:pPr>
              <w:spacing w:after="0" w:line="259" w:lineRule="auto"/>
              <w:ind w:left="187" w:right="245" w:hanging="187"/>
            </w:pPr>
            <w:r>
              <w:t>3</w:t>
            </w:r>
            <w:r>
              <w:rPr>
                <w:color w:val="FF0000"/>
                <w:sz w:val="16"/>
              </w:rPr>
              <w:t>c</w:t>
            </w:r>
            <w:r>
              <w:rPr>
                <w:sz w:val="16"/>
              </w:rPr>
              <w:t xml:space="preserve"> </w:t>
            </w:r>
          </w:p>
        </w:tc>
      </w:tr>
      <w:tr w:rsidR="00DB0248" w14:paraId="11D3B10D" w14:textId="77777777" w:rsidTr="006168B5">
        <w:trPr>
          <w:trHeight w:val="650"/>
        </w:trPr>
        <w:tc>
          <w:tcPr>
            <w:tcW w:w="4057" w:type="dxa"/>
          </w:tcPr>
          <w:p w14:paraId="204D2ABF" w14:textId="77777777" w:rsidR="00DB0248" w:rsidRDefault="00CD5A70">
            <w:pPr>
              <w:spacing w:after="0" w:line="259" w:lineRule="auto"/>
              <w:ind w:left="230" w:firstLine="0"/>
            </w:pPr>
            <w:r>
              <w:rPr>
                <w:b/>
              </w:rPr>
              <w:t>RAT</w:t>
            </w:r>
            <w:r>
              <w:t xml:space="preserve"> </w:t>
            </w:r>
          </w:p>
        </w:tc>
        <w:tc>
          <w:tcPr>
            <w:tcW w:w="1426" w:type="dxa"/>
          </w:tcPr>
          <w:p w14:paraId="4B6DA486" w14:textId="77777777" w:rsidR="00DB0248" w:rsidRDefault="00CD5A70">
            <w:pPr>
              <w:spacing w:after="0" w:line="259" w:lineRule="auto"/>
              <w:ind w:left="187" w:firstLine="0"/>
            </w:pPr>
            <w:r>
              <w:t xml:space="preserve">10 </w:t>
            </w:r>
          </w:p>
        </w:tc>
        <w:tc>
          <w:tcPr>
            <w:tcW w:w="722" w:type="dxa"/>
          </w:tcPr>
          <w:p w14:paraId="484D78ED" w14:textId="77777777" w:rsidR="00DB0248" w:rsidRDefault="00CD5A70">
            <w:pPr>
              <w:spacing w:after="0" w:line="259" w:lineRule="auto"/>
              <w:ind w:left="190" w:firstLine="0"/>
            </w:pPr>
            <w:r>
              <w:t xml:space="preserve">5 </w:t>
            </w:r>
          </w:p>
        </w:tc>
        <w:tc>
          <w:tcPr>
            <w:tcW w:w="617" w:type="dxa"/>
          </w:tcPr>
          <w:p w14:paraId="5F250A8A" w14:textId="77777777" w:rsidR="00DB0248" w:rsidRDefault="00CD5A70">
            <w:pPr>
              <w:spacing w:after="0" w:line="259" w:lineRule="auto"/>
              <w:ind w:left="187" w:firstLine="0"/>
            </w:pPr>
            <w:r>
              <w:t xml:space="preserve">10 </w:t>
            </w:r>
          </w:p>
        </w:tc>
        <w:tc>
          <w:tcPr>
            <w:tcW w:w="761" w:type="dxa"/>
          </w:tcPr>
          <w:p w14:paraId="2B12464C" w14:textId="77777777" w:rsidR="00DB0248" w:rsidRDefault="00CD5A70">
            <w:pPr>
              <w:spacing w:after="0" w:line="259" w:lineRule="auto"/>
              <w:ind w:left="187" w:firstLine="0"/>
            </w:pPr>
            <w:r>
              <w:t xml:space="preserve">5 </w:t>
            </w:r>
          </w:p>
        </w:tc>
        <w:tc>
          <w:tcPr>
            <w:tcW w:w="623" w:type="dxa"/>
          </w:tcPr>
          <w:p w14:paraId="771F963E" w14:textId="77777777" w:rsidR="00DB0248" w:rsidRDefault="00CD5A70">
            <w:pPr>
              <w:spacing w:after="0" w:line="259" w:lineRule="auto"/>
              <w:ind w:left="187" w:firstLine="0"/>
            </w:pPr>
            <w:r>
              <w:t xml:space="preserve">2 </w:t>
            </w:r>
          </w:p>
        </w:tc>
      </w:tr>
      <w:tr w:rsidR="00DB0248" w14:paraId="2530E68C" w14:textId="77777777" w:rsidTr="006168B5">
        <w:trPr>
          <w:trHeight w:val="653"/>
        </w:trPr>
        <w:tc>
          <w:tcPr>
            <w:tcW w:w="4057" w:type="dxa"/>
          </w:tcPr>
          <w:p w14:paraId="013C0230" w14:textId="77777777" w:rsidR="00DB0248" w:rsidRDefault="00CD5A70">
            <w:pPr>
              <w:spacing w:after="0" w:line="259" w:lineRule="auto"/>
              <w:ind w:left="230" w:firstLine="0"/>
            </w:pPr>
            <w:r>
              <w:rPr>
                <w:b/>
              </w:rPr>
              <w:t>RABBIT</w:t>
            </w:r>
            <w:r>
              <w:t xml:space="preserve"> </w:t>
            </w:r>
          </w:p>
        </w:tc>
        <w:tc>
          <w:tcPr>
            <w:tcW w:w="1426" w:type="dxa"/>
          </w:tcPr>
          <w:p w14:paraId="762CA355" w14:textId="77777777" w:rsidR="00DB0248" w:rsidRDefault="00CD5A70">
            <w:pPr>
              <w:spacing w:after="0" w:line="259" w:lineRule="auto"/>
              <w:ind w:left="187" w:firstLine="0"/>
            </w:pPr>
            <w:r>
              <w:t xml:space="preserve">10 </w:t>
            </w:r>
          </w:p>
        </w:tc>
        <w:tc>
          <w:tcPr>
            <w:tcW w:w="722" w:type="dxa"/>
          </w:tcPr>
          <w:p w14:paraId="2982E10D" w14:textId="77777777" w:rsidR="00DB0248" w:rsidRDefault="00CD5A70">
            <w:pPr>
              <w:spacing w:after="0" w:line="259" w:lineRule="auto"/>
              <w:ind w:left="190" w:firstLine="0"/>
            </w:pPr>
            <w:r>
              <w:t xml:space="preserve">5 </w:t>
            </w:r>
          </w:p>
        </w:tc>
        <w:tc>
          <w:tcPr>
            <w:tcW w:w="617" w:type="dxa"/>
          </w:tcPr>
          <w:p w14:paraId="1D0087C4" w14:textId="77777777" w:rsidR="00DB0248" w:rsidRDefault="00CD5A70">
            <w:pPr>
              <w:spacing w:after="0" w:line="259" w:lineRule="auto"/>
              <w:ind w:left="0" w:right="33" w:firstLine="0"/>
              <w:jc w:val="center"/>
            </w:pPr>
            <w:r>
              <w:t>5</w:t>
            </w:r>
            <w:r>
              <w:rPr>
                <w:b/>
                <w:color w:val="FF0000"/>
                <w:sz w:val="16"/>
              </w:rPr>
              <w:t>b</w:t>
            </w:r>
            <w:r>
              <w:rPr>
                <w:sz w:val="16"/>
              </w:rPr>
              <w:t xml:space="preserve"> </w:t>
            </w:r>
          </w:p>
        </w:tc>
        <w:tc>
          <w:tcPr>
            <w:tcW w:w="761" w:type="dxa"/>
          </w:tcPr>
          <w:p w14:paraId="38652E17" w14:textId="77777777" w:rsidR="00DB0248" w:rsidRDefault="00CD5A70">
            <w:pPr>
              <w:spacing w:after="0" w:line="259" w:lineRule="auto"/>
              <w:ind w:left="187" w:firstLine="0"/>
            </w:pPr>
            <w:r>
              <w:t xml:space="preserve">5 </w:t>
            </w:r>
          </w:p>
        </w:tc>
        <w:tc>
          <w:tcPr>
            <w:tcW w:w="623" w:type="dxa"/>
          </w:tcPr>
          <w:p w14:paraId="1CA5F190" w14:textId="77777777" w:rsidR="00DB0248" w:rsidRDefault="00CD5A70">
            <w:pPr>
              <w:spacing w:after="0" w:line="259" w:lineRule="auto"/>
              <w:ind w:left="0" w:right="136" w:firstLine="0"/>
              <w:jc w:val="right"/>
            </w:pPr>
            <w:r>
              <w:t xml:space="preserve">0.3 </w:t>
            </w:r>
          </w:p>
        </w:tc>
      </w:tr>
      <w:tr w:rsidR="00DB0248" w14:paraId="351F0EC1" w14:textId="77777777" w:rsidTr="006168B5">
        <w:trPr>
          <w:trHeight w:val="639"/>
        </w:trPr>
        <w:tc>
          <w:tcPr>
            <w:tcW w:w="4057" w:type="dxa"/>
          </w:tcPr>
          <w:p w14:paraId="60095C67" w14:textId="77777777" w:rsidR="00DB0248" w:rsidRDefault="00CD5A70">
            <w:pPr>
              <w:spacing w:after="0" w:line="259" w:lineRule="auto"/>
              <w:ind w:left="230" w:firstLine="0"/>
            </w:pPr>
            <w:r>
              <w:rPr>
                <w:b/>
              </w:rPr>
              <w:t>CAT</w:t>
            </w:r>
            <w:r>
              <w:t xml:space="preserve"> </w:t>
            </w:r>
          </w:p>
        </w:tc>
        <w:tc>
          <w:tcPr>
            <w:tcW w:w="1426" w:type="dxa"/>
          </w:tcPr>
          <w:p w14:paraId="622AC990" w14:textId="77777777" w:rsidR="00DB0248" w:rsidRDefault="00CD5A70">
            <w:pPr>
              <w:spacing w:after="0" w:line="259" w:lineRule="auto"/>
              <w:ind w:left="187" w:firstLine="0"/>
            </w:pPr>
            <w:r>
              <w:t xml:space="preserve">10 </w:t>
            </w:r>
          </w:p>
        </w:tc>
        <w:tc>
          <w:tcPr>
            <w:tcW w:w="722" w:type="dxa"/>
          </w:tcPr>
          <w:p w14:paraId="1E83739A" w14:textId="77777777" w:rsidR="00DB0248" w:rsidRDefault="00CD5A70">
            <w:pPr>
              <w:spacing w:after="0" w:line="259" w:lineRule="auto"/>
              <w:ind w:left="190" w:firstLine="0"/>
            </w:pPr>
            <w:r>
              <w:t xml:space="preserve">5 </w:t>
            </w:r>
          </w:p>
        </w:tc>
        <w:tc>
          <w:tcPr>
            <w:tcW w:w="617" w:type="dxa"/>
          </w:tcPr>
          <w:p w14:paraId="33F6B011" w14:textId="77777777" w:rsidR="00DB0248" w:rsidRDefault="00CD5A70">
            <w:pPr>
              <w:spacing w:after="0" w:line="259" w:lineRule="auto"/>
              <w:ind w:left="187" w:firstLine="0"/>
            </w:pPr>
            <w:r>
              <w:t xml:space="preserve">2 </w:t>
            </w:r>
          </w:p>
        </w:tc>
        <w:tc>
          <w:tcPr>
            <w:tcW w:w="761" w:type="dxa"/>
          </w:tcPr>
          <w:p w14:paraId="19CD3CD7" w14:textId="77777777" w:rsidR="00DB0248" w:rsidRDefault="00CD5A70">
            <w:pPr>
              <w:spacing w:after="0" w:line="259" w:lineRule="auto"/>
              <w:ind w:left="187" w:firstLine="0"/>
            </w:pPr>
            <w:r>
              <w:t xml:space="preserve">5 </w:t>
            </w:r>
          </w:p>
        </w:tc>
        <w:tc>
          <w:tcPr>
            <w:tcW w:w="623" w:type="dxa"/>
          </w:tcPr>
          <w:p w14:paraId="71A3D493" w14:textId="77777777" w:rsidR="00DB0248" w:rsidRDefault="00CD5A70">
            <w:pPr>
              <w:spacing w:after="0" w:line="259" w:lineRule="auto"/>
              <w:ind w:left="0" w:right="136" w:firstLine="0"/>
              <w:jc w:val="right"/>
            </w:pPr>
            <w:r>
              <w:t xml:space="preserve">0.3 </w:t>
            </w:r>
          </w:p>
        </w:tc>
      </w:tr>
      <w:tr w:rsidR="00DB0248" w14:paraId="12C4E8FB" w14:textId="77777777" w:rsidTr="006168B5">
        <w:trPr>
          <w:trHeight w:val="474"/>
        </w:trPr>
        <w:tc>
          <w:tcPr>
            <w:tcW w:w="4057" w:type="dxa"/>
          </w:tcPr>
          <w:p w14:paraId="0385C5A1" w14:textId="77777777" w:rsidR="00DB0248" w:rsidRDefault="00CD5A70">
            <w:pPr>
              <w:spacing w:after="0" w:line="259" w:lineRule="auto"/>
              <w:ind w:left="230" w:firstLine="0"/>
            </w:pPr>
            <w:r>
              <w:rPr>
                <w:b/>
              </w:rPr>
              <w:t>SWINE</w:t>
            </w:r>
            <w:r>
              <w:t xml:space="preserve"> </w:t>
            </w:r>
          </w:p>
        </w:tc>
        <w:tc>
          <w:tcPr>
            <w:tcW w:w="1426" w:type="dxa"/>
          </w:tcPr>
          <w:p w14:paraId="3DFB57DA" w14:textId="77777777" w:rsidR="00DB0248" w:rsidRDefault="00CD5A70">
            <w:pPr>
              <w:spacing w:after="0" w:line="259" w:lineRule="auto"/>
              <w:ind w:left="187" w:firstLine="0"/>
            </w:pPr>
            <w:r>
              <w:t xml:space="preserve">10 </w:t>
            </w:r>
          </w:p>
        </w:tc>
        <w:tc>
          <w:tcPr>
            <w:tcW w:w="722" w:type="dxa"/>
          </w:tcPr>
          <w:p w14:paraId="6E662008" w14:textId="77777777" w:rsidR="00DB0248" w:rsidRDefault="00CD5A70">
            <w:pPr>
              <w:spacing w:after="0" w:line="259" w:lineRule="auto"/>
              <w:ind w:left="190" w:firstLine="0"/>
            </w:pPr>
            <w:r>
              <w:t xml:space="preserve">5 </w:t>
            </w:r>
          </w:p>
        </w:tc>
        <w:tc>
          <w:tcPr>
            <w:tcW w:w="617" w:type="dxa"/>
          </w:tcPr>
          <w:p w14:paraId="5EE7CAF1" w14:textId="77777777" w:rsidR="00DB0248" w:rsidRDefault="00CD5A70">
            <w:pPr>
              <w:spacing w:after="0" w:line="259" w:lineRule="auto"/>
              <w:ind w:left="0" w:right="42" w:firstLine="0"/>
              <w:jc w:val="center"/>
            </w:pPr>
            <w:r>
              <w:t>5</w:t>
            </w:r>
            <w:r>
              <w:rPr>
                <w:color w:val="FF0000"/>
                <w:sz w:val="16"/>
              </w:rPr>
              <w:t>b</w:t>
            </w:r>
            <w:r>
              <w:rPr>
                <w:sz w:val="16"/>
              </w:rPr>
              <w:t xml:space="preserve"> </w:t>
            </w:r>
          </w:p>
        </w:tc>
        <w:tc>
          <w:tcPr>
            <w:tcW w:w="761" w:type="dxa"/>
          </w:tcPr>
          <w:p w14:paraId="7D615916" w14:textId="77777777" w:rsidR="00DB0248" w:rsidRDefault="00CD5A70">
            <w:pPr>
              <w:spacing w:after="0" w:line="259" w:lineRule="auto"/>
              <w:ind w:left="187" w:firstLine="0"/>
            </w:pPr>
            <w:r>
              <w:t xml:space="preserve">5 </w:t>
            </w:r>
          </w:p>
        </w:tc>
        <w:tc>
          <w:tcPr>
            <w:tcW w:w="623" w:type="dxa"/>
          </w:tcPr>
          <w:p w14:paraId="1AA3A385" w14:textId="77777777" w:rsidR="00DB0248" w:rsidRDefault="00CD5A70">
            <w:pPr>
              <w:spacing w:after="0" w:line="259" w:lineRule="auto"/>
              <w:ind w:left="0" w:right="136" w:firstLine="0"/>
              <w:jc w:val="right"/>
            </w:pPr>
            <w:r>
              <w:t xml:space="preserve">0.3 </w:t>
            </w:r>
          </w:p>
        </w:tc>
      </w:tr>
    </w:tbl>
    <w:p w14:paraId="272A997C" w14:textId="77777777" w:rsidR="00DB0248" w:rsidRDefault="00CD5A70">
      <w:pPr>
        <w:spacing w:after="0" w:line="259" w:lineRule="auto"/>
        <w:ind w:left="0" w:firstLine="0"/>
      </w:pPr>
      <w:r>
        <w:rPr>
          <w:sz w:val="20"/>
        </w:rPr>
        <w:t xml:space="preserve"> </w:t>
      </w:r>
    </w:p>
    <w:p w14:paraId="284EFBA5" w14:textId="77777777" w:rsidR="00DB0248" w:rsidRDefault="00CD5A70">
      <w:pPr>
        <w:spacing w:after="0" w:line="238" w:lineRule="auto"/>
        <w:ind w:left="0" w:right="8665" w:firstLine="0"/>
      </w:pPr>
      <w:r>
        <w:rPr>
          <w:sz w:val="20"/>
        </w:rPr>
        <w:lastRenderedPageBreak/>
        <w:t xml:space="preserve"> </w:t>
      </w:r>
      <w:r>
        <w:rPr>
          <w:sz w:val="21"/>
        </w:rPr>
        <w:t xml:space="preserve"> </w:t>
      </w:r>
    </w:p>
    <w:p w14:paraId="7918BB5C" w14:textId="77777777" w:rsidR="00DB0248" w:rsidRDefault="00CD5A70">
      <w:pPr>
        <w:ind w:left="115"/>
      </w:pPr>
      <w:proofErr w:type="spellStart"/>
      <w:r>
        <w:rPr>
          <w:b/>
          <w:color w:val="FF0000"/>
          <w:vertAlign w:val="superscript"/>
        </w:rPr>
        <w:t>b</w:t>
      </w:r>
      <w:r>
        <w:t>The</w:t>
      </w:r>
      <w:proofErr w:type="spellEnd"/>
      <w:r>
        <w:t xml:space="preserve"> intraperitoneal route of administration is infrequently used in rabbits and swine. </w:t>
      </w:r>
    </w:p>
    <w:p w14:paraId="44D8B122" w14:textId="77777777" w:rsidR="00DB0248" w:rsidRDefault="00CD5A70">
      <w:pPr>
        <w:spacing w:after="14" w:line="259" w:lineRule="auto"/>
        <w:ind w:left="0" w:firstLine="0"/>
      </w:pPr>
      <w:r>
        <w:rPr>
          <w:sz w:val="23"/>
        </w:rPr>
        <w:t xml:space="preserve"> </w:t>
      </w:r>
    </w:p>
    <w:p w14:paraId="481030CE" w14:textId="77777777" w:rsidR="00DB0248" w:rsidRDefault="00CD5A70">
      <w:pPr>
        <w:ind w:left="115" w:right="668"/>
      </w:pPr>
      <w:proofErr w:type="spellStart"/>
      <w:r>
        <w:rPr>
          <w:color w:val="FF0000"/>
          <w:vertAlign w:val="superscript"/>
        </w:rPr>
        <w:t>c</w:t>
      </w:r>
      <w:r>
        <w:t>The</w:t>
      </w:r>
      <w:proofErr w:type="spellEnd"/>
      <w:r>
        <w:t xml:space="preserve"> intramuscular route of administration is infrequently used in mice.  </w:t>
      </w:r>
      <w:r>
        <w:rPr>
          <w:b/>
        </w:rPr>
        <w:t>The thigh muscle is the preferred injection site for this species.</w:t>
      </w:r>
      <w:r>
        <w:t xml:space="preserve"> </w:t>
      </w:r>
    </w:p>
    <w:p w14:paraId="302D254E" w14:textId="77777777" w:rsidR="00DB0248" w:rsidRDefault="00CD5A70">
      <w:pPr>
        <w:spacing w:after="0" w:line="259" w:lineRule="auto"/>
        <w:ind w:left="0" w:firstLine="0"/>
      </w:pPr>
      <w:r>
        <w:t xml:space="preserve"> </w:t>
      </w:r>
    </w:p>
    <w:p w14:paraId="4EFCEC57" w14:textId="77777777" w:rsidR="00DB0248" w:rsidRDefault="00CD5A70">
      <w:pPr>
        <w:spacing w:after="0" w:line="259" w:lineRule="auto"/>
        <w:ind w:left="0" w:firstLine="0"/>
      </w:pPr>
      <w:r>
        <w:t xml:space="preserve"> </w:t>
      </w:r>
    </w:p>
    <w:p w14:paraId="580398A0" w14:textId="77777777" w:rsidR="00DB0248" w:rsidRDefault="00CD5A70">
      <w:pPr>
        <w:spacing w:after="0" w:line="259" w:lineRule="auto"/>
        <w:ind w:left="0" w:firstLine="0"/>
      </w:pPr>
      <w:r>
        <w:t xml:space="preserve"> </w:t>
      </w:r>
    </w:p>
    <w:p w14:paraId="1D0315DB" w14:textId="77777777" w:rsidR="00DB0248" w:rsidRDefault="00CD5A70">
      <w:pPr>
        <w:ind w:left="115"/>
      </w:pPr>
      <w:r>
        <w:t xml:space="preserve">References </w:t>
      </w:r>
    </w:p>
    <w:p w14:paraId="1A6A4355" w14:textId="77777777" w:rsidR="00DB0248" w:rsidRDefault="00CD5A70">
      <w:pPr>
        <w:spacing w:after="0" w:line="259" w:lineRule="auto"/>
        <w:ind w:left="0" w:firstLine="0"/>
      </w:pPr>
      <w:r>
        <w:t xml:space="preserve"> </w:t>
      </w:r>
    </w:p>
    <w:p w14:paraId="79A5E65F" w14:textId="77777777" w:rsidR="00DB0248" w:rsidRDefault="00CD5A70">
      <w:pPr>
        <w:numPr>
          <w:ilvl w:val="0"/>
          <w:numId w:val="1"/>
        </w:numPr>
        <w:ind w:hanging="360"/>
      </w:pPr>
      <w:r>
        <w:t xml:space="preserve">Harkness, J.E. and Wagner, J.E., The Biology and Medicine of Rabbits and Rodents, 4th ed., Williams &amp; Wilkins, 1995. </w:t>
      </w:r>
    </w:p>
    <w:p w14:paraId="6C83CA30" w14:textId="77777777" w:rsidR="00DB0248" w:rsidRDefault="00CD5A70">
      <w:pPr>
        <w:numPr>
          <w:ilvl w:val="0"/>
          <w:numId w:val="1"/>
        </w:numPr>
        <w:ind w:hanging="360"/>
      </w:pPr>
      <w:r>
        <w:t xml:space="preserve">Foster, H.L., Small, J.D., and Fox, J.G., The Mouse in Biomedical Research, Vol. III, Academic Press, 1983. </w:t>
      </w:r>
    </w:p>
    <w:p w14:paraId="16F0810F" w14:textId="77777777" w:rsidR="00DB0248" w:rsidRDefault="00CD5A70">
      <w:pPr>
        <w:numPr>
          <w:ilvl w:val="0"/>
          <w:numId w:val="1"/>
        </w:numPr>
        <w:ind w:hanging="360"/>
      </w:pPr>
      <w:r>
        <w:t xml:space="preserve">Gay, W.I., Ed., Methods of Animal Experimentation, Vol. I, Academic Press, 1965. </w:t>
      </w:r>
    </w:p>
    <w:p w14:paraId="2393EC66" w14:textId="77777777" w:rsidR="00DB0248" w:rsidRDefault="00CD5A70">
      <w:pPr>
        <w:numPr>
          <w:ilvl w:val="0"/>
          <w:numId w:val="1"/>
        </w:numPr>
        <w:ind w:hanging="360"/>
      </w:pPr>
      <w:r>
        <w:t xml:space="preserve">Hull, R.M., Guideline limit volumes for dosing animals in the preclinical stage of safety evaluation, Human and </w:t>
      </w:r>
      <w:proofErr w:type="spellStart"/>
      <w:r>
        <w:t>Exptl</w:t>
      </w:r>
      <w:proofErr w:type="spellEnd"/>
      <w:r>
        <w:t xml:space="preserve"> Tox, 14, 305, 1995. </w:t>
      </w:r>
    </w:p>
    <w:p w14:paraId="7CE0D79F" w14:textId="77777777" w:rsidR="00DB0248" w:rsidRDefault="00CD5A70">
      <w:pPr>
        <w:numPr>
          <w:ilvl w:val="0"/>
          <w:numId w:val="1"/>
        </w:numPr>
        <w:ind w:hanging="360"/>
      </w:pPr>
      <w:r>
        <w:t xml:space="preserve">Diehl, </w:t>
      </w:r>
      <w:proofErr w:type="spellStart"/>
      <w:r>
        <w:t>et.al.,A</w:t>
      </w:r>
      <w:proofErr w:type="spellEnd"/>
      <w:r>
        <w:t xml:space="preserve"> Good Practice Guide to the Administration of Substances and </w:t>
      </w:r>
    </w:p>
    <w:p w14:paraId="58BCF568" w14:textId="77777777" w:rsidR="00DB0248" w:rsidRDefault="00CD5A70">
      <w:pPr>
        <w:spacing w:after="0" w:line="259" w:lineRule="auto"/>
        <w:ind w:left="169" w:right="387"/>
        <w:jc w:val="center"/>
      </w:pPr>
      <w:r>
        <w:t xml:space="preserve">Removal of </w:t>
      </w:r>
      <w:proofErr w:type="spellStart"/>
      <w:r>
        <w:t>Blood,Including</w:t>
      </w:r>
      <w:proofErr w:type="spellEnd"/>
      <w:r>
        <w:t xml:space="preserve"> Routes and Volumes, , Journal of Applied </w:t>
      </w:r>
    </w:p>
    <w:p w14:paraId="641F805A" w14:textId="77777777" w:rsidR="00DB0248" w:rsidRDefault="00CD5A70">
      <w:pPr>
        <w:ind w:left="850"/>
      </w:pPr>
      <w:r>
        <w:t xml:space="preserve">Toxicology, 21, 15–23 (2001) </w:t>
      </w:r>
    </w:p>
    <w:p w14:paraId="278BFA47" w14:textId="77777777" w:rsidR="00DB0248" w:rsidRDefault="00CD5A70">
      <w:pPr>
        <w:numPr>
          <w:ilvl w:val="0"/>
          <w:numId w:val="1"/>
        </w:numPr>
        <w:ind w:hanging="360"/>
      </w:pPr>
      <w:r>
        <w:t xml:space="preserve">Hawk, Leary, Morris. Formulary for Laboratory Animals, 3rd Ed., 2005, Blackwell Publishing </w:t>
      </w:r>
    </w:p>
    <w:p w14:paraId="400D39C1" w14:textId="77777777" w:rsidR="00DB0248" w:rsidRDefault="00CD5A70">
      <w:pPr>
        <w:numPr>
          <w:ilvl w:val="0"/>
          <w:numId w:val="1"/>
        </w:numPr>
        <w:ind w:hanging="360"/>
      </w:pPr>
      <w:r>
        <w:t xml:space="preserve">K. E. </w:t>
      </w:r>
      <w:proofErr w:type="spellStart"/>
      <w:r>
        <w:t>Quesenberry</w:t>
      </w:r>
      <w:proofErr w:type="spellEnd"/>
      <w:r>
        <w:t xml:space="preserve"> and I. W. Carpenter, Ferrets, Rabbits, and Rodents Clinical Medicine and Surgery, 2nd Edition, , Saunders, (Elsevier), St. Louis, Missouri </w:t>
      </w:r>
    </w:p>
    <w:p w14:paraId="566D7149" w14:textId="77777777" w:rsidR="00DB0248" w:rsidRDefault="00CD5A70">
      <w:pPr>
        <w:spacing w:after="0" w:line="259" w:lineRule="auto"/>
        <w:ind w:left="0" w:firstLine="0"/>
      </w:pPr>
      <w:r>
        <w:t xml:space="preserve"> </w:t>
      </w:r>
    </w:p>
    <w:p w14:paraId="3F9FE4FF" w14:textId="77777777" w:rsidR="00DB0248" w:rsidRDefault="00CD5A70">
      <w:pPr>
        <w:spacing w:after="0" w:line="259" w:lineRule="auto"/>
        <w:ind w:left="0" w:firstLine="0"/>
      </w:pPr>
      <w:r>
        <w:t xml:space="preserve"> </w:t>
      </w:r>
    </w:p>
    <w:p w14:paraId="7420DE8E" w14:textId="77777777" w:rsidR="00DB0248" w:rsidRDefault="00CD5A70">
      <w:pPr>
        <w:spacing w:after="0" w:line="259" w:lineRule="auto"/>
        <w:ind w:left="0" w:firstLine="0"/>
      </w:pPr>
      <w:r>
        <w:t xml:space="preserve"> </w:t>
      </w:r>
    </w:p>
    <w:p w14:paraId="2C06D836" w14:textId="77777777" w:rsidR="00DB0248" w:rsidRDefault="00CD5A70">
      <w:pPr>
        <w:spacing w:after="0" w:line="259" w:lineRule="auto"/>
        <w:ind w:left="0" w:firstLine="0"/>
      </w:pPr>
      <w:r>
        <w:t xml:space="preserve"> </w:t>
      </w:r>
    </w:p>
    <w:p w14:paraId="1DA15561" w14:textId="77777777" w:rsidR="00DB0248" w:rsidRDefault="00CD5A70">
      <w:pPr>
        <w:ind w:left="115"/>
      </w:pPr>
      <w:r>
        <w:t xml:space="preserve">Approval date:  December 2003 </w:t>
      </w:r>
    </w:p>
    <w:p w14:paraId="515521D6" w14:textId="77777777" w:rsidR="00DB0248" w:rsidRDefault="00CD5A70">
      <w:pPr>
        <w:ind w:left="115"/>
      </w:pPr>
      <w:r>
        <w:t xml:space="preserve">Review date:  March 21, 2012 </w:t>
      </w:r>
    </w:p>
    <w:p w14:paraId="49FFE00A" w14:textId="785226DB" w:rsidR="00DB0248" w:rsidRDefault="00981AD9">
      <w:pPr>
        <w:ind w:left="115"/>
      </w:pPr>
      <w:r>
        <w:t>Review</w:t>
      </w:r>
      <w:r w:rsidR="00CD5A70">
        <w:t xml:space="preserve"> date: July 2018 </w:t>
      </w:r>
    </w:p>
    <w:p w14:paraId="02A9876A" w14:textId="1750015A" w:rsidR="00981AD9" w:rsidRDefault="00981AD9">
      <w:pPr>
        <w:ind w:left="115"/>
      </w:pPr>
      <w:r>
        <w:t>Last Review Date: September 2021</w:t>
      </w:r>
    </w:p>
    <w:p w14:paraId="0D88105D" w14:textId="77777777" w:rsidR="00981AD9" w:rsidRDefault="00981AD9">
      <w:pPr>
        <w:ind w:left="115"/>
      </w:pPr>
    </w:p>
    <w:sectPr w:rsidR="00981AD9">
      <w:footnotePr>
        <w:numRestart w:val="eachPage"/>
      </w:footnotePr>
      <w:pgSz w:w="12240" w:h="15840"/>
      <w:pgMar w:top="1440" w:right="1841" w:bottom="2384"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F0B3" w14:textId="77777777" w:rsidR="00FA4C58" w:rsidRDefault="00FA4C58">
      <w:pPr>
        <w:spacing w:after="0" w:line="240" w:lineRule="auto"/>
      </w:pPr>
      <w:r>
        <w:separator/>
      </w:r>
    </w:p>
  </w:endnote>
  <w:endnote w:type="continuationSeparator" w:id="0">
    <w:p w14:paraId="0620D9DD" w14:textId="77777777" w:rsidR="00FA4C58" w:rsidRDefault="00FA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86FA" w14:textId="77777777" w:rsidR="00FA4C58" w:rsidRDefault="00FA4C58">
      <w:pPr>
        <w:spacing w:after="0" w:line="242" w:lineRule="auto"/>
        <w:ind w:left="120" w:firstLine="0"/>
      </w:pPr>
      <w:r>
        <w:separator/>
      </w:r>
    </w:p>
  </w:footnote>
  <w:footnote w:type="continuationSeparator" w:id="0">
    <w:p w14:paraId="610FC742" w14:textId="77777777" w:rsidR="00FA4C58" w:rsidRDefault="00FA4C58">
      <w:pPr>
        <w:spacing w:after="0" w:line="242" w:lineRule="auto"/>
        <w:ind w:left="120" w:firstLine="0"/>
      </w:pPr>
      <w:r>
        <w:continuationSeparator/>
      </w:r>
    </w:p>
  </w:footnote>
  <w:footnote w:id="1">
    <w:p w14:paraId="22D5C5FE" w14:textId="77777777" w:rsidR="00DB0248" w:rsidRDefault="00CD5A70">
      <w:pPr>
        <w:pStyle w:val="footnotedescription"/>
      </w:pPr>
      <w:r>
        <w:rPr>
          <w:rStyle w:val="footnotemark"/>
        </w:rPr>
        <w:footnoteRef/>
      </w:r>
      <w:r>
        <w:t xml:space="preserve"> Volumes near the maximum must be given very slowly; e.g., over a period of a minute or longer. </w:t>
      </w:r>
    </w:p>
    <w:p w14:paraId="7E195831" w14:textId="77777777" w:rsidR="00DB0248" w:rsidRDefault="00CD5A70">
      <w:pPr>
        <w:pStyle w:val="footnotedescription"/>
        <w:spacing w:after="16" w:line="259" w:lineRule="auto"/>
        <w:ind w:left="0"/>
      </w:pPr>
      <w:r>
        <w:rPr>
          <w:sz w:val="23"/>
        </w:rPr>
        <w:t xml:space="preserve"> </w:t>
      </w:r>
    </w:p>
  </w:footnote>
  <w:footnote w:id="2">
    <w:p w14:paraId="2D595579" w14:textId="77777777" w:rsidR="00DB0248" w:rsidRDefault="00CD5A70">
      <w:pPr>
        <w:pStyle w:val="footnotedescription"/>
        <w:spacing w:line="241" w:lineRule="auto"/>
      </w:pPr>
      <w:r>
        <w:rPr>
          <w:rStyle w:val="footnotemark"/>
        </w:rPr>
        <w:footnoteRef/>
      </w:r>
      <w:r>
        <w:t xml:space="preserve"> More than one site should be used when administering larger volumes or frequent administration subcutaneously. The veterinary staff should be consulted in making this decision. </w:t>
      </w:r>
    </w:p>
    <w:p w14:paraId="5730DE98" w14:textId="77777777" w:rsidR="00DB0248" w:rsidRDefault="00CD5A70">
      <w:pPr>
        <w:pStyle w:val="footnotedescription"/>
        <w:spacing w:after="23" w:line="259" w:lineRule="auto"/>
        <w:ind w:left="0"/>
      </w:pPr>
      <w:r>
        <w:rPr>
          <w:sz w:val="22"/>
        </w:rPr>
        <w:t xml:space="preserve"> </w:t>
      </w:r>
    </w:p>
  </w:footnote>
  <w:footnote w:id="3">
    <w:p w14:paraId="08D84CAE" w14:textId="77777777" w:rsidR="00DB0248" w:rsidRDefault="00CD5A70">
      <w:pPr>
        <w:pStyle w:val="footnotedescription"/>
        <w:spacing w:line="243" w:lineRule="auto"/>
      </w:pPr>
      <w:r>
        <w:rPr>
          <w:rStyle w:val="footnotemark"/>
        </w:rPr>
        <w:footnoteRef/>
      </w:r>
      <w:r>
        <w:t xml:space="preserve"> Appropriate volumes for intramuscular administration may vary depending on the irritancy of the solution. If the potential for irritancy exists and/or larger volumes need to be used, injection of smaller volumes into multiple sites is recommended. </w:t>
      </w:r>
    </w:p>
    <w:p w14:paraId="6D02726B" w14:textId="77777777" w:rsidR="00DB0248" w:rsidRDefault="00CD5A70">
      <w:pPr>
        <w:pStyle w:val="footnotedescription"/>
        <w:spacing w:line="259" w:lineRule="auto"/>
        <w:ind w:left="0"/>
      </w:pPr>
      <w:r>
        <w:rPr>
          <w:sz w:val="23"/>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567D2"/>
    <w:multiLevelType w:val="hybridMultilevel"/>
    <w:tmpl w:val="3B4424E6"/>
    <w:lvl w:ilvl="0" w:tplc="FBF6A816">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6500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489C6">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4DF1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A7B8A">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2DCA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67CA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0D05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C5E1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48"/>
    <w:rsid w:val="00437AB9"/>
    <w:rsid w:val="006168B5"/>
    <w:rsid w:val="00981AD9"/>
    <w:rsid w:val="00B92171"/>
    <w:rsid w:val="00CD5A70"/>
    <w:rsid w:val="00DB0248"/>
    <w:rsid w:val="00FA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739F"/>
  <w15:docId w15:val="{D6216414-C4CD-456F-BA66-BBF5A0D8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2" w:lineRule="auto"/>
      <w:ind w:left="12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FF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9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DREXEL UNIVERSITY ANIMAL CARE AND USE COMMITTEE</dc:title>
  <dc:subject/>
  <dc:creator>rbh25</dc:creator>
  <cp:keywords/>
  <cp:lastModifiedBy>Reneski,Carolyn</cp:lastModifiedBy>
  <cp:revision>2</cp:revision>
  <dcterms:created xsi:type="dcterms:W3CDTF">2021-09-30T17:01:00Z</dcterms:created>
  <dcterms:modified xsi:type="dcterms:W3CDTF">2021-09-30T17:01:00Z</dcterms:modified>
</cp:coreProperties>
</file>